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54B6" w:rsidRDefault="00BA54B6" w:rsidP="00BA54B6">
      <w:pPr>
        <w:spacing w:after="0" w:line="480" w:lineRule="auto"/>
        <w:jc w:val="center"/>
        <w:rPr>
          <w:rFonts w:ascii="Times New Roman" w:hAnsi="Times New Roman" w:cs="Times New Roman"/>
          <w:sz w:val="24"/>
          <w:szCs w:val="24"/>
        </w:rPr>
      </w:pPr>
      <w:bookmarkStart w:id="0" w:name="_GoBack"/>
      <w:bookmarkEnd w:id="0"/>
    </w:p>
    <w:p w:rsidR="00BA54B6" w:rsidRDefault="00BA54B6" w:rsidP="00BA54B6">
      <w:pPr>
        <w:spacing w:after="0" w:line="480" w:lineRule="auto"/>
        <w:jc w:val="center"/>
        <w:rPr>
          <w:rFonts w:ascii="Times New Roman" w:hAnsi="Times New Roman" w:cs="Times New Roman"/>
          <w:sz w:val="24"/>
          <w:szCs w:val="24"/>
        </w:rPr>
      </w:pPr>
    </w:p>
    <w:p w:rsidR="00BA54B6" w:rsidRDefault="00BA54B6" w:rsidP="00BA54B6">
      <w:pPr>
        <w:spacing w:after="0" w:line="480" w:lineRule="auto"/>
        <w:jc w:val="center"/>
        <w:rPr>
          <w:rFonts w:ascii="Times New Roman" w:hAnsi="Times New Roman" w:cs="Times New Roman"/>
          <w:sz w:val="24"/>
          <w:szCs w:val="24"/>
        </w:rPr>
      </w:pPr>
    </w:p>
    <w:p w:rsidR="00BA54B6" w:rsidRDefault="00BA54B6" w:rsidP="00BA54B6">
      <w:pPr>
        <w:spacing w:after="0" w:line="480" w:lineRule="auto"/>
        <w:jc w:val="center"/>
        <w:rPr>
          <w:rFonts w:ascii="Times New Roman" w:hAnsi="Times New Roman" w:cs="Times New Roman"/>
          <w:sz w:val="24"/>
          <w:szCs w:val="24"/>
        </w:rPr>
      </w:pPr>
    </w:p>
    <w:p w:rsidR="00BA54B6" w:rsidRDefault="00BA54B6" w:rsidP="00BA54B6">
      <w:pPr>
        <w:spacing w:after="0" w:line="480" w:lineRule="auto"/>
        <w:jc w:val="center"/>
        <w:rPr>
          <w:rFonts w:ascii="Times New Roman" w:hAnsi="Times New Roman" w:cs="Times New Roman"/>
          <w:sz w:val="24"/>
          <w:szCs w:val="24"/>
        </w:rPr>
      </w:pPr>
    </w:p>
    <w:p w:rsidR="00BA54B6" w:rsidRDefault="00BA54B6" w:rsidP="00BA54B6">
      <w:pPr>
        <w:spacing w:after="0" w:line="480" w:lineRule="auto"/>
        <w:jc w:val="center"/>
        <w:rPr>
          <w:rFonts w:ascii="Times New Roman" w:hAnsi="Times New Roman" w:cs="Times New Roman"/>
          <w:sz w:val="24"/>
          <w:szCs w:val="24"/>
        </w:rPr>
      </w:pPr>
    </w:p>
    <w:p w:rsidR="00B52E8A" w:rsidRDefault="00B52E8A" w:rsidP="00BA5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Accounting </w:t>
      </w:r>
    </w:p>
    <w:p w:rsidR="00B52E8A" w:rsidRDefault="00B52E8A" w:rsidP="00BA5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52E8A" w:rsidRDefault="00B52E8A" w:rsidP="00BA5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B52E8A" w:rsidRDefault="00B52E8A" w:rsidP="00BA54B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8303F" w:rsidRDefault="00B52E8A" w:rsidP="00BA54B6">
      <w:pPr>
        <w:spacing w:after="0" w:line="480" w:lineRule="auto"/>
        <w:jc w:val="center"/>
        <w:rPr>
          <w:rFonts w:ascii="Times New Roman" w:hAnsi="Times New Roman" w:cs="Times New Roman"/>
          <w:sz w:val="24"/>
          <w:szCs w:val="24"/>
        </w:rPr>
        <w:sectPr w:rsidR="0018303F" w:rsidSect="00356959">
          <w:headerReference w:type="default" r:id="rId8"/>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0010AC" w:rsidRDefault="00A95B38" w:rsidP="00BA54B6">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Cash vs. Accrual Accounting</w:t>
      </w:r>
    </w:p>
    <w:p w:rsidR="00A95B38" w:rsidRDefault="00C05421" w:rsidP="00BA54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accounting for the revenue and the expenses by the business organizations can be done using two methods of cash accounting and the accrual accounting</w:t>
      </w:r>
      <w:sdt>
        <w:sdtPr>
          <w:rPr>
            <w:rFonts w:ascii="Times New Roman" w:hAnsi="Times New Roman" w:cs="Times New Roman"/>
            <w:sz w:val="24"/>
            <w:szCs w:val="24"/>
          </w:rPr>
          <w:id w:val="3161928"/>
          <w:citation/>
        </w:sdtPr>
        <w:sdtEndPr/>
        <w:sdtContent>
          <w:r w:rsidR="002624FE">
            <w:rPr>
              <w:rFonts w:ascii="Times New Roman" w:hAnsi="Times New Roman" w:cs="Times New Roman"/>
              <w:sz w:val="24"/>
              <w:szCs w:val="24"/>
            </w:rPr>
            <w:fldChar w:fldCharType="begin"/>
          </w:r>
          <w:r w:rsidR="002624FE">
            <w:rPr>
              <w:rFonts w:ascii="Times New Roman" w:hAnsi="Times New Roman" w:cs="Times New Roman"/>
              <w:sz w:val="24"/>
              <w:szCs w:val="24"/>
            </w:rPr>
            <w:instrText xml:space="preserve"> CITATION Nee11 \l 1033 </w:instrText>
          </w:r>
          <w:r w:rsidR="002624FE">
            <w:rPr>
              <w:rFonts w:ascii="Times New Roman" w:hAnsi="Times New Roman" w:cs="Times New Roman"/>
              <w:sz w:val="24"/>
              <w:szCs w:val="24"/>
            </w:rPr>
            <w:fldChar w:fldCharType="separate"/>
          </w:r>
          <w:r w:rsidR="002624FE">
            <w:rPr>
              <w:rFonts w:ascii="Times New Roman" w:hAnsi="Times New Roman" w:cs="Times New Roman"/>
              <w:noProof/>
              <w:sz w:val="24"/>
              <w:szCs w:val="24"/>
            </w:rPr>
            <w:t xml:space="preserve"> </w:t>
          </w:r>
          <w:r w:rsidR="002624FE" w:rsidRPr="002624FE">
            <w:rPr>
              <w:rFonts w:ascii="Times New Roman" w:hAnsi="Times New Roman" w:cs="Times New Roman"/>
              <w:noProof/>
              <w:sz w:val="24"/>
              <w:szCs w:val="24"/>
            </w:rPr>
            <w:t>(Needles &amp; Powers, 2011)</w:t>
          </w:r>
          <w:r w:rsidR="002624FE">
            <w:rPr>
              <w:rFonts w:ascii="Times New Roman" w:hAnsi="Times New Roman" w:cs="Times New Roman"/>
              <w:sz w:val="24"/>
              <w:szCs w:val="24"/>
            </w:rPr>
            <w:fldChar w:fldCharType="end"/>
          </w:r>
        </w:sdtContent>
      </w:sdt>
      <w:r>
        <w:rPr>
          <w:rFonts w:ascii="Times New Roman" w:hAnsi="Times New Roman" w:cs="Times New Roman"/>
          <w:sz w:val="24"/>
          <w:szCs w:val="24"/>
        </w:rPr>
        <w:t>. The comparison between the cash accounting and the accrual accounting is reflected in the diagram that has been attached below.</w:t>
      </w:r>
    </w:p>
    <w:p w:rsidR="00324580" w:rsidRPr="00A95B38" w:rsidRDefault="00324580" w:rsidP="00BA54B6">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33925" cy="29051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4733925" cy="2905125"/>
                    </a:xfrm>
                    <a:prstGeom prst="rect">
                      <a:avLst/>
                    </a:prstGeom>
                    <a:noFill/>
                    <a:ln w="9525">
                      <a:noFill/>
                      <a:miter lim="800000"/>
                      <a:headEnd/>
                      <a:tailEnd/>
                    </a:ln>
                  </pic:spPr>
                </pic:pic>
              </a:graphicData>
            </a:graphic>
          </wp:inline>
        </w:drawing>
      </w:r>
    </w:p>
    <w:p w:rsidR="00A95B38" w:rsidRDefault="009C5A1B" w:rsidP="00BA54B6">
      <w:pPr>
        <w:spacing w:after="0" w:line="480" w:lineRule="auto"/>
        <w:rPr>
          <w:rFonts w:ascii="Times New Roman" w:hAnsi="Times New Roman" w:cs="Times New Roman"/>
          <w:b/>
          <w:sz w:val="24"/>
          <w:szCs w:val="24"/>
        </w:rPr>
      </w:pPr>
      <w:r w:rsidRPr="009C5A1B">
        <w:rPr>
          <w:rFonts w:ascii="Times New Roman" w:hAnsi="Times New Roman" w:cs="Times New Roman"/>
          <w:b/>
          <w:sz w:val="24"/>
          <w:szCs w:val="24"/>
        </w:rPr>
        <w:t xml:space="preserve">Summary </w:t>
      </w:r>
    </w:p>
    <w:p w:rsidR="007051DF" w:rsidRDefault="0065024C" w:rsidP="00BA54B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diagram that has been drawn above demonstrates the difference between the </w:t>
      </w:r>
      <w:r w:rsidR="0035538E">
        <w:rPr>
          <w:rFonts w:ascii="Times New Roman" w:hAnsi="Times New Roman" w:cs="Times New Roman"/>
          <w:sz w:val="24"/>
          <w:szCs w:val="24"/>
        </w:rPr>
        <w:t xml:space="preserve">cash accounting and the accrual accounting. The cash accounting approach entails the cash payment on time once a transaction has been conducted. </w:t>
      </w:r>
      <w:r w:rsidR="00632AE8">
        <w:rPr>
          <w:rFonts w:ascii="Times New Roman" w:hAnsi="Times New Roman" w:cs="Times New Roman"/>
          <w:sz w:val="24"/>
          <w:szCs w:val="24"/>
        </w:rPr>
        <w:t xml:space="preserve">In contrast, the accrual </w:t>
      </w:r>
      <w:r w:rsidR="008357ED">
        <w:rPr>
          <w:rFonts w:ascii="Times New Roman" w:hAnsi="Times New Roman" w:cs="Times New Roman"/>
          <w:sz w:val="24"/>
          <w:szCs w:val="24"/>
        </w:rPr>
        <w:t xml:space="preserve">accounting involves a postponed payment after the transaction has been carried between two or different parties. </w:t>
      </w:r>
      <w:r w:rsidR="00E1437C">
        <w:rPr>
          <w:rFonts w:ascii="Times New Roman" w:hAnsi="Times New Roman" w:cs="Times New Roman"/>
          <w:sz w:val="24"/>
          <w:szCs w:val="24"/>
        </w:rPr>
        <w:t xml:space="preserve">Thus, one of the major </w:t>
      </w:r>
      <w:r w:rsidR="000E0389">
        <w:rPr>
          <w:rFonts w:ascii="Times New Roman" w:hAnsi="Times New Roman" w:cs="Times New Roman"/>
          <w:sz w:val="24"/>
          <w:szCs w:val="24"/>
        </w:rPr>
        <w:t>differences</w:t>
      </w:r>
      <w:r w:rsidR="00E1437C">
        <w:rPr>
          <w:rFonts w:ascii="Times New Roman" w:hAnsi="Times New Roman" w:cs="Times New Roman"/>
          <w:sz w:val="24"/>
          <w:szCs w:val="24"/>
        </w:rPr>
        <w:t xml:space="preserve"> between the accrual accounting and the cash accounting is the application of the matching principle as provided under the generally accepted accounting principles</w:t>
      </w:r>
      <w:r w:rsidR="000E0389">
        <w:rPr>
          <w:rFonts w:ascii="Times New Roman" w:hAnsi="Times New Roman" w:cs="Times New Roman"/>
          <w:sz w:val="24"/>
          <w:szCs w:val="24"/>
        </w:rPr>
        <w:t xml:space="preserve"> (GAAP)</w:t>
      </w:r>
      <w:sdt>
        <w:sdtPr>
          <w:rPr>
            <w:rFonts w:ascii="Times New Roman" w:hAnsi="Times New Roman" w:cs="Times New Roman"/>
            <w:sz w:val="24"/>
            <w:szCs w:val="24"/>
          </w:rPr>
          <w:id w:val="3161922"/>
          <w:citation/>
        </w:sdtPr>
        <w:sdtEndPr/>
        <w:sdtContent>
          <w:r w:rsidR="002624FE">
            <w:rPr>
              <w:rFonts w:ascii="Times New Roman" w:hAnsi="Times New Roman" w:cs="Times New Roman"/>
              <w:sz w:val="24"/>
              <w:szCs w:val="24"/>
            </w:rPr>
            <w:fldChar w:fldCharType="begin"/>
          </w:r>
          <w:r w:rsidR="002624FE">
            <w:rPr>
              <w:rFonts w:ascii="Times New Roman" w:hAnsi="Times New Roman" w:cs="Times New Roman"/>
              <w:sz w:val="24"/>
              <w:szCs w:val="24"/>
            </w:rPr>
            <w:instrText xml:space="preserve"> CITATION Nee11 \l 1033 </w:instrText>
          </w:r>
          <w:r w:rsidR="002624FE">
            <w:rPr>
              <w:rFonts w:ascii="Times New Roman" w:hAnsi="Times New Roman" w:cs="Times New Roman"/>
              <w:sz w:val="24"/>
              <w:szCs w:val="24"/>
            </w:rPr>
            <w:fldChar w:fldCharType="separate"/>
          </w:r>
          <w:r w:rsidR="002624FE">
            <w:rPr>
              <w:rFonts w:ascii="Times New Roman" w:hAnsi="Times New Roman" w:cs="Times New Roman"/>
              <w:noProof/>
              <w:sz w:val="24"/>
              <w:szCs w:val="24"/>
            </w:rPr>
            <w:t xml:space="preserve"> </w:t>
          </w:r>
          <w:r w:rsidR="002624FE" w:rsidRPr="002624FE">
            <w:rPr>
              <w:rFonts w:ascii="Times New Roman" w:hAnsi="Times New Roman" w:cs="Times New Roman"/>
              <w:noProof/>
              <w:sz w:val="24"/>
              <w:szCs w:val="24"/>
            </w:rPr>
            <w:t>(Needles &amp; Powers, 2011)</w:t>
          </w:r>
          <w:r w:rsidR="002624FE">
            <w:rPr>
              <w:rFonts w:ascii="Times New Roman" w:hAnsi="Times New Roman" w:cs="Times New Roman"/>
              <w:sz w:val="24"/>
              <w:szCs w:val="24"/>
            </w:rPr>
            <w:fldChar w:fldCharType="end"/>
          </w:r>
        </w:sdtContent>
      </w:sdt>
      <w:r w:rsidR="000E0389">
        <w:rPr>
          <w:rFonts w:ascii="Times New Roman" w:hAnsi="Times New Roman" w:cs="Times New Roman"/>
          <w:sz w:val="24"/>
          <w:szCs w:val="24"/>
        </w:rPr>
        <w:t>.</w:t>
      </w:r>
      <w:r w:rsidR="00B75F29">
        <w:rPr>
          <w:rFonts w:ascii="Times New Roman" w:hAnsi="Times New Roman" w:cs="Times New Roman"/>
          <w:sz w:val="24"/>
          <w:szCs w:val="24"/>
        </w:rPr>
        <w:t xml:space="preserve"> The matching principle provides that expenses should be matched during the period in which they helped in generating the revenue</w:t>
      </w:r>
      <w:sdt>
        <w:sdtPr>
          <w:rPr>
            <w:rFonts w:ascii="Times New Roman" w:hAnsi="Times New Roman" w:cs="Times New Roman"/>
            <w:sz w:val="24"/>
            <w:szCs w:val="24"/>
          </w:rPr>
          <w:id w:val="3161923"/>
          <w:citation/>
        </w:sdtPr>
        <w:sdtEndPr/>
        <w:sdtContent>
          <w:r w:rsidR="002624FE">
            <w:rPr>
              <w:rFonts w:ascii="Times New Roman" w:hAnsi="Times New Roman" w:cs="Times New Roman"/>
              <w:sz w:val="24"/>
              <w:szCs w:val="24"/>
            </w:rPr>
            <w:fldChar w:fldCharType="begin"/>
          </w:r>
          <w:r w:rsidR="002624FE">
            <w:rPr>
              <w:rFonts w:ascii="Times New Roman" w:hAnsi="Times New Roman" w:cs="Times New Roman"/>
              <w:sz w:val="24"/>
              <w:szCs w:val="24"/>
            </w:rPr>
            <w:instrText xml:space="preserve"> CITATION Sch161 \l 1033 </w:instrText>
          </w:r>
          <w:r w:rsidR="002624FE">
            <w:rPr>
              <w:rFonts w:ascii="Times New Roman" w:hAnsi="Times New Roman" w:cs="Times New Roman"/>
              <w:sz w:val="24"/>
              <w:szCs w:val="24"/>
            </w:rPr>
            <w:fldChar w:fldCharType="separate"/>
          </w:r>
          <w:r w:rsidR="002624FE">
            <w:rPr>
              <w:rFonts w:ascii="Times New Roman" w:hAnsi="Times New Roman" w:cs="Times New Roman"/>
              <w:noProof/>
              <w:sz w:val="24"/>
              <w:szCs w:val="24"/>
            </w:rPr>
            <w:t xml:space="preserve"> </w:t>
          </w:r>
          <w:r w:rsidR="002624FE" w:rsidRPr="002624FE">
            <w:rPr>
              <w:rFonts w:ascii="Times New Roman" w:hAnsi="Times New Roman" w:cs="Times New Roman"/>
              <w:noProof/>
              <w:sz w:val="24"/>
              <w:szCs w:val="24"/>
            </w:rPr>
            <w:t>(Schroeder, Clark, &amp; Cathey, 2016)</w:t>
          </w:r>
          <w:r w:rsidR="002624FE">
            <w:rPr>
              <w:rFonts w:ascii="Times New Roman" w:hAnsi="Times New Roman" w:cs="Times New Roman"/>
              <w:sz w:val="24"/>
              <w:szCs w:val="24"/>
            </w:rPr>
            <w:fldChar w:fldCharType="end"/>
          </w:r>
        </w:sdtContent>
      </w:sdt>
      <w:r w:rsidR="00B75F29">
        <w:rPr>
          <w:rFonts w:ascii="Times New Roman" w:hAnsi="Times New Roman" w:cs="Times New Roman"/>
          <w:sz w:val="24"/>
          <w:szCs w:val="24"/>
        </w:rPr>
        <w:t xml:space="preserve">. </w:t>
      </w:r>
      <w:r w:rsidR="00E328E0">
        <w:rPr>
          <w:rFonts w:ascii="Times New Roman" w:hAnsi="Times New Roman" w:cs="Times New Roman"/>
          <w:sz w:val="24"/>
          <w:szCs w:val="24"/>
        </w:rPr>
        <w:t xml:space="preserve">Accordingly, the accrual accounting method applies the matching principle in the recognition of the expenses. This aspect means that a business will record </w:t>
      </w:r>
      <w:r w:rsidR="001E201E">
        <w:rPr>
          <w:rFonts w:ascii="Times New Roman" w:hAnsi="Times New Roman" w:cs="Times New Roman"/>
          <w:sz w:val="24"/>
          <w:szCs w:val="24"/>
        </w:rPr>
        <w:t xml:space="preserve">an expense in the period it is attached even without paying for the expense that has been incurred. </w:t>
      </w:r>
      <w:r w:rsidR="006B55BB">
        <w:rPr>
          <w:rFonts w:ascii="Times New Roman" w:hAnsi="Times New Roman" w:cs="Times New Roman"/>
          <w:sz w:val="24"/>
          <w:szCs w:val="24"/>
        </w:rPr>
        <w:t xml:space="preserve">In contrast, the cash accounting </w:t>
      </w:r>
      <w:r w:rsidR="0053786F">
        <w:rPr>
          <w:rFonts w:ascii="Times New Roman" w:hAnsi="Times New Roman" w:cs="Times New Roman"/>
          <w:sz w:val="24"/>
          <w:szCs w:val="24"/>
        </w:rPr>
        <w:t>approach does not employ the matching principle in recognition of the expenses.</w:t>
      </w:r>
    </w:p>
    <w:p w:rsidR="00E3369C" w:rsidRDefault="0053786F" w:rsidP="00BA54B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expenses are recognized once the cash payment is made by an entity. </w:t>
      </w:r>
      <w:r w:rsidR="00A70F54">
        <w:rPr>
          <w:rFonts w:ascii="Times New Roman" w:hAnsi="Times New Roman" w:cs="Times New Roman"/>
          <w:sz w:val="24"/>
          <w:szCs w:val="24"/>
        </w:rPr>
        <w:t xml:space="preserve">Thus, </w:t>
      </w:r>
      <w:r w:rsidR="00C831FE">
        <w:rPr>
          <w:rFonts w:ascii="Times New Roman" w:hAnsi="Times New Roman" w:cs="Times New Roman"/>
          <w:sz w:val="24"/>
          <w:szCs w:val="24"/>
        </w:rPr>
        <w:t>an expense is associated with the accounting period in which it has been paid rather than the period it is matched with the revenue generated</w:t>
      </w:r>
      <w:sdt>
        <w:sdtPr>
          <w:rPr>
            <w:rFonts w:ascii="Times New Roman" w:hAnsi="Times New Roman" w:cs="Times New Roman"/>
            <w:sz w:val="24"/>
            <w:szCs w:val="24"/>
          </w:rPr>
          <w:id w:val="3161924"/>
          <w:citation/>
        </w:sdtPr>
        <w:sdtEndPr/>
        <w:sdtContent>
          <w:r w:rsidR="002624FE">
            <w:rPr>
              <w:rFonts w:ascii="Times New Roman" w:hAnsi="Times New Roman" w:cs="Times New Roman"/>
              <w:sz w:val="24"/>
              <w:szCs w:val="24"/>
            </w:rPr>
            <w:fldChar w:fldCharType="begin"/>
          </w:r>
          <w:r w:rsidR="002624FE">
            <w:rPr>
              <w:rFonts w:ascii="Times New Roman" w:hAnsi="Times New Roman" w:cs="Times New Roman"/>
              <w:sz w:val="24"/>
              <w:szCs w:val="24"/>
            </w:rPr>
            <w:instrText xml:space="preserve"> CITATION Tro18 \l 1033 </w:instrText>
          </w:r>
          <w:r w:rsidR="002624FE">
            <w:rPr>
              <w:rFonts w:ascii="Times New Roman" w:hAnsi="Times New Roman" w:cs="Times New Roman"/>
              <w:sz w:val="24"/>
              <w:szCs w:val="24"/>
            </w:rPr>
            <w:fldChar w:fldCharType="separate"/>
          </w:r>
          <w:r w:rsidR="002624FE">
            <w:rPr>
              <w:rFonts w:ascii="Times New Roman" w:hAnsi="Times New Roman" w:cs="Times New Roman"/>
              <w:noProof/>
              <w:sz w:val="24"/>
              <w:szCs w:val="24"/>
            </w:rPr>
            <w:t xml:space="preserve"> </w:t>
          </w:r>
          <w:r w:rsidR="002624FE" w:rsidRPr="002624FE">
            <w:rPr>
              <w:rFonts w:ascii="Times New Roman" w:hAnsi="Times New Roman" w:cs="Times New Roman"/>
              <w:noProof/>
              <w:sz w:val="24"/>
              <w:szCs w:val="24"/>
            </w:rPr>
            <w:t>(Trotman, 2018)</w:t>
          </w:r>
          <w:r w:rsidR="002624FE">
            <w:rPr>
              <w:rFonts w:ascii="Times New Roman" w:hAnsi="Times New Roman" w:cs="Times New Roman"/>
              <w:sz w:val="24"/>
              <w:szCs w:val="24"/>
            </w:rPr>
            <w:fldChar w:fldCharType="end"/>
          </w:r>
        </w:sdtContent>
      </w:sdt>
      <w:r w:rsidR="00C831FE">
        <w:rPr>
          <w:rFonts w:ascii="Times New Roman" w:hAnsi="Times New Roman" w:cs="Times New Roman"/>
          <w:sz w:val="24"/>
          <w:szCs w:val="24"/>
        </w:rPr>
        <w:t xml:space="preserve">. </w:t>
      </w:r>
      <w:r w:rsidR="00BC66FC">
        <w:rPr>
          <w:rFonts w:ascii="Times New Roman" w:hAnsi="Times New Roman" w:cs="Times New Roman"/>
          <w:sz w:val="24"/>
          <w:szCs w:val="24"/>
        </w:rPr>
        <w:t xml:space="preserve">Similarly, the accrual accounting approach </w:t>
      </w:r>
      <w:r w:rsidR="003D0595">
        <w:rPr>
          <w:rFonts w:ascii="Times New Roman" w:hAnsi="Times New Roman" w:cs="Times New Roman"/>
          <w:sz w:val="24"/>
          <w:szCs w:val="24"/>
        </w:rPr>
        <w:t xml:space="preserve">recognizes the sales revenue </w:t>
      </w:r>
      <w:r w:rsidR="00F1345F">
        <w:rPr>
          <w:rFonts w:ascii="Times New Roman" w:hAnsi="Times New Roman" w:cs="Times New Roman"/>
          <w:sz w:val="24"/>
          <w:szCs w:val="24"/>
        </w:rPr>
        <w:t>once the sale has been earned</w:t>
      </w:r>
      <w:r w:rsidR="003D0595">
        <w:rPr>
          <w:rFonts w:ascii="Times New Roman" w:hAnsi="Times New Roman" w:cs="Times New Roman"/>
          <w:sz w:val="24"/>
          <w:szCs w:val="24"/>
        </w:rPr>
        <w:t xml:space="preserve"> instead of the period it has been paid in cash. In contrast, the cash accounting approach </w:t>
      </w:r>
      <w:r w:rsidR="005C4990">
        <w:rPr>
          <w:rFonts w:ascii="Times New Roman" w:hAnsi="Times New Roman" w:cs="Times New Roman"/>
          <w:sz w:val="24"/>
          <w:szCs w:val="24"/>
        </w:rPr>
        <w:t>recognizes the sales revenue once the cash for the goods or services offered is received</w:t>
      </w:r>
      <w:sdt>
        <w:sdtPr>
          <w:rPr>
            <w:rFonts w:ascii="Times New Roman" w:hAnsi="Times New Roman" w:cs="Times New Roman"/>
            <w:sz w:val="24"/>
            <w:szCs w:val="24"/>
          </w:rPr>
          <w:id w:val="3161926"/>
          <w:citation/>
        </w:sdtPr>
        <w:sdtEndPr/>
        <w:sdtContent>
          <w:r w:rsidR="002624FE">
            <w:rPr>
              <w:rFonts w:ascii="Times New Roman" w:hAnsi="Times New Roman" w:cs="Times New Roman"/>
              <w:sz w:val="24"/>
              <w:szCs w:val="24"/>
            </w:rPr>
            <w:fldChar w:fldCharType="begin"/>
          </w:r>
          <w:r w:rsidR="002624FE">
            <w:rPr>
              <w:rFonts w:ascii="Times New Roman" w:hAnsi="Times New Roman" w:cs="Times New Roman"/>
              <w:sz w:val="24"/>
              <w:szCs w:val="24"/>
            </w:rPr>
            <w:instrText xml:space="preserve"> CITATION Dee13 \l 1033 </w:instrText>
          </w:r>
          <w:r w:rsidR="002624FE">
            <w:rPr>
              <w:rFonts w:ascii="Times New Roman" w:hAnsi="Times New Roman" w:cs="Times New Roman"/>
              <w:sz w:val="24"/>
              <w:szCs w:val="24"/>
            </w:rPr>
            <w:fldChar w:fldCharType="separate"/>
          </w:r>
          <w:r w:rsidR="002624FE">
            <w:rPr>
              <w:rFonts w:ascii="Times New Roman" w:hAnsi="Times New Roman" w:cs="Times New Roman"/>
              <w:noProof/>
              <w:sz w:val="24"/>
              <w:szCs w:val="24"/>
            </w:rPr>
            <w:t xml:space="preserve"> </w:t>
          </w:r>
          <w:r w:rsidR="002624FE" w:rsidRPr="002624FE">
            <w:rPr>
              <w:rFonts w:ascii="Times New Roman" w:hAnsi="Times New Roman" w:cs="Times New Roman"/>
              <w:noProof/>
              <w:sz w:val="24"/>
              <w:szCs w:val="24"/>
            </w:rPr>
            <w:t>(Deegan, 2013)</w:t>
          </w:r>
          <w:r w:rsidR="002624FE">
            <w:rPr>
              <w:rFonts w:ascii="Times New Roman" w:hAnsi="Times New Roman" w:cs="Times New Roman"/>
              <w:sz w:val="24"/>
              <w:szCs w:val="24"/>
            </w:rPr>
            <w:fldChar w:fldCharType="end"/>
          </w:r>
        </w:sdtContent>
      </w:sdt>
      <w:r w:rsidR="005C4990">
        <w:rPr>
          <w:rFonts w:ascii="Times New Roman" w:hAnsi="Times New Roman" w:cs="Times New Roman"/>
          <w:sz w:val="24"/>
          <w:szCs w:val="24"/>
        </w:rPr>
        <w:t>.</w:t>
      </w:r>
      <w:r w:rsidR="00C109C9">
        <w:rPr>
          <w:rFonts w:ascii="Times New Roman" w:hAnsi="Times New Roman" w:cs="Times New Roman"/>
          <w:sz w:val="24"/>
          <w:szCs w:val="24"/>
        </w:rPr>
        <w:t xml:space="preserve"> Consequently, an entity that employs the cash basis of accounting does not have receivables and payables in its accounting records since all transactions are recognized based cash payment or receiving. However, an entity that employs the accrual basis of accounting </w:t>
      </w:r>
      <w:r w:rsidR="00EA2E09">
        <w:rPr>
          <w:rFonts w:ascii="Times New Roman" w:hAnsi="Times New Roman" w:cs="Times New Roman"/>
          <w:sz w:val="24"/>
          <w:szCs w:val="24"/>
        </w:rPr>
        <w:t xml:space="preserve">has the potential of </w:t>
      </w:r>
      <w:r w:rsidR="0038724F">
        <w:rPr>
          <w:rFonts w:ascii="Times New Roman" w:hAnsi="Times New Roman" w:cs="Times New Roman"/>
          <w:sz w:val="24"/>
          <w:szCs w:val="24"/>
        </w:rPr>
        <w:t xml:space="preserve">recording receivables and payables since the revenue does not have to </w:t>
      </w:r>
      <w:r w:rsidR="00BA54B6">
        <w:rPr>
          <w:rFonts w:ascii="Times New Roman" w:hAnsi="Times New Roman" w:cs="Times New Roman"/>
          <w:sz w:val="24"/>
          <w:szCs w:val="24"/>
        </w:rPr>
        <w:t>receive</w:t>
      </w:r>
      <w:r w:rsidR="0038724F">
        <w:rPr>
          <w:rFonts w:ascii="Times New Roman" w:hAnsi="Times New Roman" w:cs="Times New Roman"/>
          <w:sz w:val="24"/>
          <w:szCs w:val="24"/>
        </w:rPr>
        <w:t xml:space="preserve"> in cash and expenses paid in cash</w:t>
      </w:r>
      <w:sdt>
        <w:sdtPr>
          <w:rPr>
            <w:rFonts w:ascii="Times New Roman" w:hAnsi="Times New Roman" w:cs="Times New Roman"/>
            <w:sz w:val="24"/>
            <w:szCs w:val="24"/>
          </w:rPr>
          <w:id w:val="3161927"/>
          <w:citation/>
        </w:sdtPr>
        <w:sdtEndPr/>
        <w:sdtContent>
          <w:r w:rsidR="002624FE">
            <w:rPr>
              <w:rFonts w:ascii="Times New Roman" w:hAnsi="Times New Roman" w:cs="Times New Roman"/>
              <w:sz w:val="24"/>
              <w:szCs w:val="24"/>
            </w:rPr>
            <w:fldChar w:fldCharType="begin"/>
          </w:r>
          <w:r w:rsidR="002624FE">
            <w:rPr>
              <w:rFonts w:ascii="Times New Roman" w:hAnsi="Times New Roman" w:cs="Times New Roman"/>
              <w:sz w:val="24"/>
              <w:szCs w:val="24"/>
            </w:rPr>
            <w:instrText xml:space="preserve"> CITATION Sch161 \l 1033 </w:instrText>
          </w:r>
          <w:r w:rsidR="002624FE">
            <w:rPr>
              <w:rFonts w:ascii="Times New Roman" w:hAnsi="Times New Roman" w:cs="Times New Roman"/>
              <w:sz w:val="24"/>
              <w:szCs w:val="24"/>
            </w:rPr>
            <w:fldChar w:fldCharType="separate"/>
          </w:r>
          <w:r w:rsidR="002624FE">
            <w:rPr>
              <w:rFonts w:ascii="Times New Roman" w:hAnsi="Times New Roman" w:cs="Times New Roman"/>
              <w:noProof/>
              <w:sz w:val="24"/>
              <w:szCs w:val="24"/>
            </w:rPr>
            <w:t xml:space="preserve"> </w:t>
          </w:r>
          <w:r w:rsidR="002624FE" w:rsidRPr="002624FE">
            <w:rPr>
              <w:rFonts w:ascii="Times New Roman" w:hAnsi="Times New Roman" w:cs="Times New Roman"/>
              <w:noProof/>
              <w:sz w:val="24"/>
              <w:szCs w:val="24"/>
            </w:rPr>
            <w:t>(Schroeder, Clark, &amp; Cathey, 2016)</w:t>
          </w:r>
          <w:r w:rsidR="002624FE">
            <w:rPr>
              <w:rFonts w:ascii="Times New Roman" w:hAnsi="Times New Roman" w:cs="Times New Roman"/>
              <w:sz w:val="24"/>
              <w:szCs w:val="24"/>
            </w:rPr>
            <w:fldChar w:fldCharType="end"/>
          </w:r>
        </w:sdtContent>
      </w:sdt>
      <w:r w:rsidR="0038724F">
        <w:rPr>
          <w:rFonts w:ascii="Times New Roman" w:hAnsi="Times New Roman" w:cs="Times New Roman"/>
          <w:sz w:val="24"/>
          <w:szCs w:val="24"/>
        </w:rPr>
        <w:t>.</w:t>
      </w:r>
      <w:r w:rsidR="005C4990">
        <w:rPr>
          <w:rFonts w:ascii="Times New Roman" w:hAnsi="Times New Roman" w:cs="Times New Roman"/>
          <w:sz w:val="24"/>
          <w:szCs w:val="24"/>
        </w:rPr>
        <w:t xml:space="preserve"> </w:t>
      </w:r>
    </w:p>
    <w:p w:rsidR="00E3369C" w:rsidRDefault="00E3369C">
      <w:pPr>
        <w:rPr>
          <w:rFonts w:ascii="Times New Roman" w:hAnsi="Times New Roman" w:cs="Times New Roman"/>
          <w:sz w:val="24"/>
          <w:szCs w:val="24"/>
        </w:rPr>
      </w:pPr>
      <w:r>
        <w:rPr>
          <w:rFonts w:ascii="Times New Roman" w:hAnsi="Times New Roman" w:cs="Times New Roman"/>
          <w:sz w:val="24"/>
          <w:szCs w:val="24"/>
        </w:rPr>
        <w:br w:type="page"/>
      </w:r>
    </w:p>
    <w:p w:rsidR="00E3369C" w:rsidRDefault="00E3369C" w:rsidP="00E336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3369C" w:rsidRPr="00E3369C" w:rsidRDefault="00E3369C" w:rsidP="00E3369C">
      <w:pPr>
        <w:pStyle w:val="Bibliography"/>
        <w:ind w:left="720" w:hanging="720"/>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sidRPr="00E3369C">
        <w:rPr>
          <w:rFonts w:ascii="Times New Roman" w:hAnsi="Times New Roman" w:cs="Times New Roman"/>
          <w:noProof/>
          <w:sz w:val="24"/>
          <w:szCs w:val="24"/>
        </w:rPr>
        <w:t xml:space="preserve">Deegan, C. M. (2013). </w:t>
      </w:r>
      <w:r w:rsidRPr="00E3369C">
        <w:rPr>
          <w:rFonts w:ascii="Times New Roman" w:hAnsi="Times New Roman" w:cs="Times New Roman"/>
          <w:i/>
          <w:iCs/>
          <w:noProof/>
          <w:sz w:val="24"/>
          <w:szCs w:val="24"/>
        </w:rPr>
        <w:t>Financial Accounting theory.</w:t>
      </w:r>
      <w:r w:rsidRPr="00E3369C">
        <w:rPr>
          <w:rFonts w:ascii="Times New Roman" w:hAnsi="Times New Roman" w:cs="Times New Roman"/>
          <w:noProof/>
          <w:sz w:val="24"/>
          <w:szCs w:val="24"/>
        </w:rPr>
        <w:t xml:space="preserve"> North Ryde: McGraw-Hill Education.</w:t>
      </w:r>
    </w:p>
    <w:p w:rsidR="00E3369C" w:rsidRPr="00E3369C" w:rsidRDefault="00E3369C" w:rsidP="00E3369C">
      <w:pPr>
        <w:pStyle w:val="Bibliography"/>
        <w:ind w:left="720" w:hanging="720"/>
        <w:rPr>
          <w:rFonts w:ascii="Times New Roman" w:hAnsi="Times New Roman" w:cs="Times New Roman"/>
          <w:noProof/>
          <w:sz w:val="24"/>
          <w:szCs w:val="24"/>
        </w:rPr>
      </w:pPr>
      <w:r w:rsidRPr="00E3369C">
        <w:rPr>
          <w:rFonts w:ascii="Times New Roman" w:hAnsi="Times New Roman" w:cs="Times New Roman"/>
          <w:noProof/>
          <w:sz w:val="24"/>
          <w:szCs w:val="24"/>
        </w:rPr>
        <w:t xml:space="preserve">Needles, B. E., &amp; Powers, M. (2011). </w:t>
      </w:r>
      <w:r w:rsidRPr="00E3369C">
        <w:rPr>
          <w:rFonts w:ascii="Times New Roman" w:hAnsi="Times New Roman" w:cs="Times New Roman"/>
          <w:i/>
          <w:iCs/>
          <w:noProof/>
          <w:sz w:val="24"/>
          <w:szCs w:val="24"/>
        </w:rPr>
        <w:t>Principles of financial accounting.</w:t>
      </w:r>
      <w:r w:rsidRPr="00E3369C">
        <w:rPr>
          <w:rFonts w:ascii="Times New Roman" w:hAnsi="Times New Roman" w:cs="Times New Roman"/>
          <w:noProof/>
          <w:sz w:val="24"/>
          <w:szCs w:val="24"/>
        </w:rPr>
        <w:t xml:space="preserve"> Mason, Ohio : South-Western Cengage Learning.</w:t>
      </w:r>
    </w:p>
    <w:p w:rsidR="00E3369C" w:rsidRPr="00E3369C" w:rsidRDefault="00E3369C" w:rsidP="00E3369C">
      <w:pPr>
        <w:pStyle w:val="Bibliography"/>
        <w:ind w:left="720" w:hanging="720"/>
        <w:rPr>
          <w:rFonts w:ascii="Times New Roman" w:hAnsi="Times New Roman" w:cs="Times New Roman"/>
          <w:noProof/>
          <w:sz w:val="24"/>
          <w:szCs w:val="24"/>
        </w:rPr>
      </w:pPr>
      <w:r w:rsidRPr="00E3369C">
        <w:rPr>
          <w:rFonts w:ascii="Times New Roman" w:hAnsi="Times New Roman" w:cs="Times New Roman"/>
          <w:noProof/>
          <w:sz w:val="24"/>
          <w:szCs w:val="24"/>
        </w:rPr>
        <w:t xml:space="preserve">Schroeder, R. G., Clark, M., &amp; Cathey, J. M. (2016). </w:t>
      </w:r>
      <w:r w:rsidRPr="00E3369C">
        <w:rPr>
          <w:rFonts w:ascii="Times New Roman" w:hAnsi="Times New Roman" w:cs="Times New Roman"/>
          <w:i/>
          <w:iCs/>
          <w:noProof/>
          <w:sz w:val="24"/>
          <w:szCs w:val="24"/>
        </w:rPr>
        <w:t>Financial accounting theory and analysis: Text and cases.</w:t>
      </w:r>
      <w:r w:rsidRPr="00E3369C">
        <w:rPr>
          <w:rFonts w:ascii="Times New Roman" w:hAnsi="Times New Roman" w:cs="Times New Roman"/>
          <w:noProof/>
          <w:sz w:val="24"/>
          <w:szCs w:val="24"/>
        </w:rPr>
        <w:t xml:space="preserve"> Hoboken, NJ: Wiley.</w:t>
      </w:r>
    </w:p>
    <w:p w:rsidR="00E3369C" w:rsidRPr="00E3369C" w:rsidRDefault="00E3369C" w:rsidP="00E3369C">
      <w:pPr>
        <w:pStyle w:val="Bibliography"/>
        <w:ind w:left="720" w:hanging="720"/>
        <w:rPr>
          <w:rFonts w:ascii="Times New Roman" w:hAnsi="Times New Roman" w:cs="Times New Roman"/>
          <w:noProof/>
          <w:sz w:val="24"/>
          <w:szCs w:val="24"/>
        </w:rPr>
      </w:pPr>
      <w:r w:rsidRPr="00E3369C">
        <w:rPr>
          <w:rFonts w:ascii="Times New Roman" w:hAnsi="Times New Roman" w:cs="Times New Roman"/>
          <w:noProof/>
          <w:sz w:val="24"/>
          <w:szCs w:val="24"/>
        </w:rPr>
        <w:t xml:space="preserve">Trotman, K. (2018). </w:t>
      </w:r>
      <w:r w:rsidRPr="00E3369C">
        <w:rPr>
          <w:rFonts w:ascii="Times New Roman" w:hAnsi="Times New Roman" w:cs="Times New Roman"/>
          <w:i/>
          <w:iCs/>
          <w:noProof/>
          <w:sz w:val="24"/>
          <w:szCs w:val="24"/>
        </w:rPr>
        <w:t>Financial Accounting.</w:t>
      </w:r>
      <w:r w:rsidRPr="00E3369C">
        <w:rPr>
          <w:rFonts w:ascii="Times New Roman" w:hAnsi="Times New Roman" w:cs="Times New Roman"/>
          <w:noProof/>
          <w:sz w:val="24"/>
          <w:szCs w:val="24"/>
        </w:rPr>
        <w:t xml:space="preserve"> Melbourne: Cengage Learning.</w:t>
      </w:r>
    </w:p>
    <w:p w:rsidR="009C5A1B" w:rsidRPr="009C5A1B" w:rsidRDefault="00E3369C" w:rsidP="00E3369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fldChar w:fldCharType="end"/>
      </w:r>
    </w:p>
    <w:sectPr w:rsidR="009C5A1B" w:rsidRPr="009C5A1B" w:rsidSect="0035695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9C5" w:rsidRDefault="000C09C5" w:rsidP="0018303F">
      <w:pPr>
        <w:spacing w:after="0" w:line="240" w:lineRule="auto"/>
      </w:pPr>
      <w:r>
        <w:separator/>
      </w:r>
    </w:p>
  </w:endnote>
  <w:endnote w:type="continuationSeparator" w:id="0">
    <w:p w:rsidR="000C09C5" w:rsidRDefault="000C09C5" w:rsidP="00183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9C5" w:rsidRDefault="000C09C5" w:rsidP="0018303F">
      <w:pPr>
        <w:spacing w:after="0" w:line="240" w:lineRule="auto"/>
      </w:pPr>
      <w:r>
        <w:separator/>
      </w:r>
    </w:p>
  </w:footnote>
  <w:footnote w:type="continuationSeparator" w:id="0">
    <w:p w:rsidR="000C09C5" w:rsidRDefault="000C09C5" w:rsidP="001830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948"/>
      <w:docPartObj>
        <w:docPartGallery w:val="Page Numbers (Top of Page)"/>
        <w:docPartUnique/>
      </w:docPartObj>
    </w:sdtPr>
    <w:sdtEndPr/>
    <w:sdtContent>
      <w:p w:rsidR="0018303F" w:rsidRDefault="0018303F" w:rsidP="0018303F">
        <w:pPr>
          <w:pStyle w:val="Header"/>
        </w:pPr>
        <w:r w:rsidRPr="0018303F">
          <w:rPr>
            <w:rFonts w:ascii="Times New Roman" w:hAnsi="Times New Roman" w:cs="Times New Roman"/>
            <w:sz w:val="24"/>
            <w:szCs w:val="24"/>
          </w:rPr>
          <w:t>Running Head: ACCOUNTING</w:t>
        </w:r>
        <w:r>
          <w:rPr>
            <w:rFonts w:ascii="Times New Roman" w:hAnsi="Times New Roman" w:cs="Times New Roman"/>
            <w:sz w:val="24"/>
            <w:szCs w:val="24"/>
          </w:rPr>
          <w:tab/>
        </w:r>
        <w:r>
          <w:rPr>
            <w:rFonts w:ascii="Times New Roman" w:hAnsi="Times New Roman" w:cs="Times New Roman"/>
            <w:sz w:val="24"/>
            <w:szCs w:val="24"/>
          </w:rPr>
          <w:tab/>
        </w:r>
        <w:r w:rsidRPr="0018303F">
          <w:rPr>
            <w:rFonts w:ascii="Times New Roman" w:hAnsi="Times New Roman" w:cs="Times New Roman"/>
            <w:sz w:val="24"/>
            <w:szCs w:val="24"/>
          </w:rPr>
          <w:t xml:space="preserve"> </w:t>
        </w:r>
        <w:r w:rsidR="00A92893" w:rsidRPr="0018303F">
          <w:rPr>
            <w:rFonts w:ascii="Times New Roman" w:hAnsi="Times New Roman" w:cs="Times New Roman"/>
            <w:sz w:val="24"/>
            <w:szCs w:val="24"/>
          </w:rPr>
          <w:fldChar w:fldCharType="begin"/>
        </w:r>
        <w:r w:rsidRPr="0018303F">
          <w:rPr>
            <w:rFonts w:ascii="Times New Roman" w:hAnsi="Times New Roman" w:cs="Times New Roman"/>
            <w:sz w:val="24"/>
            <w:szCs w:val="24"/>
          </w:rPr>
          <w:instrText xml:space="preserve"> PAGE   \* MERGEFORMAT </w:instrText>
        </w:r>
        <w:r w:rsidR="00A92893" w:rsidRPr="0018303F">
          <w:rPr>
            <w:rFonts w:ascii="Times New Roman" w:hAnsi="Times New Roman" w:cs="Times New Roman"/>
            <w:sz w:val="24"/>
            <w:szCs w:val="24"/>
          </w:rPr>
          <w:fldChar w:fldCharType="separate"/>
        </w:r>
        <w:r w:rsidR="000C09C5">
          <w:rPr>
            <w:rFonts w:ascii="Times New Roman" w:hAnsi="Times New Roman" w:cs="Times New Roman"/>
            <w:noProof/>
            <w:sz w:val="24"/>
            <w:szCs w:val="24"/>
          </w:rPr>
          <w:t>1</w:t>
        </w:r>
        <w:r w:rsidR="00A92893" w:rsidRPr="0018303F">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303F" w:rsidRDefault="0018303F" w:rsidP="0018303F">
    <w:pPr>
      <w:pStyle w:val="Header"/>
    </w:pPr>
    <w:r w:rsidRPr="0018303F">
      <w:rPr>
        <w:rFonts w:ascii="Times New Roman" w:hAnsi="Times New Roman" w:cs="Times New Roman"/>
        <w:sz w:val="24"/>
        <w:szCs w:val="24"/>
      </w:rPr>
      <w:t>ACCOUNTING</w:t>
    </w:r>
    <w:r>
      <w:rPr>
        <w:rFonts w:ascii="Times New Roman" w:hAnsi="Times New Roman" w:cs="Times New Roman"/>
        <w:sz w:val="24"/>
        <w:szCs w:val="24"/>
      </w:rPr>
      <w:tab/>
    </w:r>
    <w:r>
      <w:rPr>
        <w:rFonts w:ascii="Times New Roman" w:hAnsi="Times New Roman" w:cs="Times New Roman"/>
        <w:sz w:val="24"/>
        <w:szCs w:val="24"/>
      </w:rPr>
      <w:tab/>
    </w:r>
    <w:r w:rsidRPr="0018303F">
      <w:rPr>
        <w:rFonts w:ascii="Times New Roman" w:hAnsi="Times New Roman" w:cs="Times New Roman"/>
        <w:sz w:val="24"/>
        <w:szCs w:val="24"/>
      </w:rPr>
      <w:t xml:space="preserve"> </w:t>
    </w:r>
    <w:r w:rsidR="00A92893" w:rsidRPr="0018303F">
      <w:rPr>
        <w:rFonts w:ascii="Times New Roman" w:hAnsi="Times New Roman" w:cs="Times New Roman"/>
        <w:sz w:val="24"/>
        <w:szCs w:val="24"/>
      </w:rPr>
      <w:fldChar w:fldCharType="begin"/>
    </w:r>
    <w:r w:rsidRPr="0018303F">
      <w:rPr>
        <w:rFonts w:ascii="Times New Roman" w:hAnsi="Times New Roman" w:cs="Times New Roman"/>
        <w:sz w:val="24"/>
        <w:szCs w:val="24"/>
      </w:rPr>
      <w:instrText xml:space="preserve"> PAGE   \* MERGEFORMAT </w:instrText>
    </w:r>
    <w:r w:rsidR="00A92893" w:rsidRPr="0018303F">
      <w:rPr>
        <w:rFonts w:ascii="Times New Roman" w:hAnsi="Times New Roman" w:cs="Times New Roman"/>
        <w:sz w:val="24"/>
        <w:szCs w:val="24"/>
      </w:rPr>
      <w:fldChar w:fldCharType="separate"/>
    </w:r>
    <w:r w:rsidR="00AC185D">
      <w:rPr>
        <w:rFonts w:ascii="Times New Roman" w:hAnsi="Times New Roman" w:cs="Times New Roman"/>
        <w:noProof/>
        <w:sz w:val="24"/>
        <w:szCs w:val="24"/>
      </w:rPr>
      <w:t>4</w:t>
    </w:r>
    <w:r w:rsidR="00A92893" w:rsidRPr="0018303F">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20F01"/>
    <w:rsid w:val="000C09C5"/>
    <w:rsid w:val="000E0389"/>
    <w:rsid w:val="0018303F"/>
    <w:rsid w:val="001E201E"/>
    <w:rsid w:val="002624FE"/>
    <w:rsid w:val="00324580"/>
    <w:rsid w:val="0035538E"/>
    <w:rsid w:val="00356959"/>
    <w:rsid w:val="0038724F"/>
    <w:rsid w:val="003D0595"/>
    <w:rsid w:val="0053786F"/>
    <w:rsid w:val="005C4990"/>
    <w:rsid w:val="00632AE8"/>
    <w:rsid w:val="0065024C"/>
    <w:rsid w:val="006B55BB"/>
    <w:rsid w:val="007051DF"/>
    <w:rsid w:val="00720F01"/>
    <w:rsid w:val="008357ED"/>
    <w:rsid w:val="009C5A1B"/>
    <w:rsid w:val="00A70F54"/>
    <w:rsid w:val="00A92893"/>
    <w:rsid w:val="00A95B38"/>
    <w:rsid w:val="00AC185D"/>
    <w:rsid w:val="00B52E8A"/>
    <w:rsid w:val="00B75F29"/>
    <w:rsid w:val="00BA54B6"/>
    <w:rsid w:val="00BC66FC"/>
    <w:rsid w:val="00C05421"/>
    <w:rsid w:val="00C109C9"/>
    <w:rsid w:val="00C17F75"/>
    <w:rsid w:val="00C831FE"/>
    <w:rsid w:val="00CE1BEE"/>
    <w:rsid w:val="00CF773B"/>
    <w:rsid w:val="00D43314"/>
    <w:rsid w:val="00E1437C"/>
    <w:rsid w:val="00E328E0"/>
    <w:rsid w:val="00E3369C"/>
    <w:rsid w:val="00E61ED8"/>
    <w:rsid w:val="00E713B3"/>
    <w:rsid w:val="00EA2E09"/>
    <w:rsid w:val="00F1345F"/>
    <w:rsid w:val="00F45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9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45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580"/>
    <w:rPr>
      <w:rFonts w:ascii="Tahoma" w:hAnsi="Tahoma" w:cs="Tahoma"/>
      <w:sz w:val="16"/>
      <w:szCs w:val="16"/>
    </w:rPr>
  </w:style>
  <w:style w:type="paragraph" w:styleId="Header">
    <w:name w:val="header"/>
    <w:basedOn w:val="Normal"/>
    <w:link w:val="HeaderChar"/>
    <w:uiPriority w:val="99"/>
    <w:unhideWhenUsed/>
    <w:rsid w:val="001830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03F"/>
  </w:style>
  <w:style w:type="paragraph" w:styleId="Footer">
    <w:name w:val="footer"/>
    <w:basedOn w:val="Normal"/>
    <w:link w:val="FooterChar"/>
    <w:uiPriority w:val="99"/>
    <w:semiHidden/>
    <w:unhideWhenUsed/>
    <w:rsid w:val="0018303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303F"/>
  </w:style>
  <w:style w:type="paragraph" w:styleId="Bibliography">
    <w:name w:val="Bibliography"/>
    <w:basedOn w:val="Normal"/>
    <w:next w:val="Normal"/>
    <w:uiPriority w:val="37"/>
    <w:unhideWhenUsed/>
    <w:rsid w:val="00E336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Dee13</b:Tag>
    <b:SourceType>Book</b:SourceType>
    <b:Guid>{3EE5D5AA-F212-46A1-9B1E-F44068A6D22E}</b:Guid>
    <b:Author>
      <b:Author>
        <b:NameList>
          <b:Person>
            <b:Last>Deegan</b:Last>
            <b:First>C.</b:First>
            <b:Middle>M</b:Middle>
          </b:Person>
        </b:NameList>
      </b:Author>
    </b:Author>
    <b:Title>Financial Accounting theory</b:Title>
    <b:Year>2013</b:Year>
    <b:City>North Ryde</b:City>
    <b:Publisher> McGraw-Hill Education</b:Publisher>
    <b:RefOrder>4</b:RefOrder>
  </b:Source>
  <b:Source>
    <b:Tag>Nee11</b:Tag>
    <b:SourceType>Book</b:SourceType>
    <b:Guid>{B9594792-0DE7-47D0-8CD2-B1AED252E7E2}</b:Guid>
    <b:Author>
      <b:Author>
        <b:NameList>
          <b:Person>
            <b:Last>Needles</b:Last>
            <b:First>B.</b:First>
            <b:Middle>E</b:Middle>
          </b:Person>
          <b:Person>
            <b:Last>Powers</b:Last>
            <b:First>M</b:First>
          </b:Person>
        </b:NameList>
      </b:Author>
    </b:Author>
    <b:Title>Principles of financial accounting</b:Title>
    <b:Year>2011</b:Year>
    <b:City>Mason, Ohio </b:City>
    <b:Publisher>South-Western Cengage Learning</b:Publisher>
    <b:RefOrder>1</b:RefOrder>
  </b:Source>
  <b:Source>
    <b:Tag>Sch161</b:Tag>
    <b:SourceType>Book</b:SourceType>
    <b:Guid>{43CBE014-79DF-476A-AE8E-6A44F4FAB7F7}</b:Guid>
    <b:Author>
      <b:Author>
        <b:NameList>
          <b:Person>
            <b:Last>Schroeder</b:Last>
            <b:First>R.</b:First>
            <b:Middle>G</b:Middle>
          </b:Person>
          <b:Person>
            <b:Last>Clark</b:Last>
            <b:First>M</b:First>
          </b:Person>
          <b:Person>
            <b:Last>Cathey</b:Last>
            <b:First>J.</b:First>
            <b:Middle>M</b:Middle>
          </b:Person>
        </b:NameList>
      </b:Author>
    </b:Author>
    <b:Title>Financial accounting theory and analysis: Text and cases</b:Title>
    <b:Year>2016</b:Year>
    <b:City>Hoboken, NJ</b:City>
    <b:Publisher>Wiley</b:Publisher>
    <b:RefOrder>2</b:RefOrder>
  </b:Source>
  <b:Source>
    <b:Tag>Tro18</b:Tag>
    <b:SourceType>Book</b:SourceType>
    <b:Guid>{6D134126-A969-41A6-8DD3-EC146F8DA2AC}</b:Guid>
    <b:Author>
      <b:Author>
        <b:NameList>
          <b:Person>
            <b:Last>Trotman</b:Last>
            <b:First>Ken</b:First>
          </b:Person>
        </b:NameList>
      </b:Author>
    </b:Author>
    <b:Title>Financial Accounting</b:Title>
    <b:Year>2018</b:Year>
    <b:City>Melbourne</b:City>
    <b:Publisher>Cengage Learning</b:Publisher>
    <b:RefOrder>3</b:RefOrder>
  </b:Source>
</b:Sources>
</file>

<file path=customXml/itemProps1.xml><?xml version="1.0" encoding="utf-8"?>
<ds:datastoreItem xmlns:ds="http://schemas.openxmlformats.org/officeDocument/2006/customXml" ds:itemID="{53CC9954-32F4-4148-B372-1156C4281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2019-09-02T13:43:00Z</dcterms:created>
  <dcterms:modified xsi:type="dcterms:W3CDTF">2019-09-02T13:43:00Z</dcterms:modified>
</cp:coreProperties>
</file>